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1116B" w:rsidRDefault="00DC2B7B" w:rsidP="00A05993">
      <w:pPr>
        <w:snapToGrid w:val="0"/>
        <w:spacing w:after="0" w:line="240" w:lineRule="auto"/>
        <w:ind w:right="77"/>
        <w:jc w:val="center"/>
        <w:rPr>
          <w:rFonts w:asciiTheme="minorEastAsia" w:eastAsiaTheme="minorEastAsia" w:hAnsiTheme="minorEastAsia"/>
          <w:sz w:val="24"/>
          <w:szCs w:val="24"/>
        </w:rPr>
      </w:pPr>
      <w:r w:rsidRPr="0051116B">
        <w:rPr>
          <w:rFonts w:asciiTheme="minorEastAsia" w:eastAsiaTheme="minorEastAsia" w:hAnsiTheme="minorEastAsia"/>
          <w:sz w:val="24"/>
          <w:szCs w:val="24"/>
        </w:rPr>
        <w:t>公益財団法人</w:t>
      </w:r>
      <w:r w:rsidR="0051116B">
        <w:rPr>
          <w:rFonts w:asciiTheme="minorEastAsia" w:eastAsiaTheme="minorEastAsia" w:hAnsiTheme="minorEastAsia" w:hint="eastAsia"/>
          <w:sz w:val="24"/>
          <w:szCs w:val="24"/>
        </w:rPr>
        <w:t>ひかり</w:t>
      </w:r>
      <w:r w:rsidRPr="0051116B">
        <w:rPr>
          <w:rFonts w:asciiTheme="minorEastAsia" w:eastAsiaTheme="minorEastAsia" w:hAnsiTheme="minorEastAsia"/>
          <w:sz w:val="24"/>
          <w:szCs w:val="24"/>
        </w:rPr>
        <w:t>協会職員に対する</w:t>
      </w:r>
    </w:p>
    <w:p w:rsidR="000D6DC4" w:rsidRDefault="00DC2B7B" w:rsidP="00A05993">
      <w:pPr>
        <w:snapToGrid w:val="0"/>
        <w:spacing w:after="0" w:line="240" w:lineRule="auto"/>
        <w:ind w:right="77"/>
        <w:jc w:val="center"/>
        <w:rPr>
          <w:rFonts w:asciiTheme="minorEastAsia" w:eastAsiaTheme="minorEastAsia" w:hAnsiTheme="minorEastAsia"/>
          <w:sz w:val="24"/>
          <w:szCs w:val="24"/>
        </w:rPr>
      </w:pPr>
      <w:r w:rsidRPr="0051116B">
        <w:rPr>
          <w:rFonts w:asciiTheme="minorEastAsia" w:eastAsiaTheme="minorEastAsia" w:hAnsiTheme="minorEastAsia"/>
          <w:sz w:val="24"/>
          <w:szCs w:val="24"/>
        </w:rPr>
        <w:t>カスタマーハラスメントの防止に関する基本方針</w:t>
      </w:r>
    </w:p>
    <w:p w:rsidR="0051116B" w:rsidRPr="0051116B" w:rsidRDefault="0051116B" w:rsidP="00A05993">
      <w:pPr>
        <w:snapToGrid w:val="0"/>
        <w:spacing w:after="0" w:line="240" w:lineRule="auto"/>
        <w:ind w:right="77"/>
        <w:jc w:val="center"/>
        <w:rPr>
          <w:rFonts w:asciiTheme="minorEastAsia" w:eastAsiaTheme="minorEastAsia" w:hAnsiTheme="minorEastAsia"/>
          <w:sz w:val="24"/>
          <w:szCs w:val="24"/>
        </w:rPr>
      </w:pPr>
    </w:p>
    <w:p w:rsidR="000D6DC4" w:rsidRPr="0051116B" w:rsidRDefault="00DC2B7B" w:rsidP="00A05993">
      <w:pPr>
        <w:snapToGrid w:val="0"/>
        <w:spacing w:after="0" w:line="240" w:lineRule="auto"/>
        <w:ind w:left="23" w:firstLine="226"/>
        <w:jc w:val="both"/>
        <w:rPr>
          <w:rFonts w:asciiTheme="minorEastAsia" w:eastAsiaTheme="minorEastAsia" w:hAnsiTheme="minorEastAsia"/>
          <w:sz w:val="24"/>
          <w:szCs w:val="24"/>
        </w:rPr>
      </w:pPr>
      <w:r w:rsidRPr="0051116B">
        <w:rPr>
          <w:rFonts w:asciiTheme="minorEastAsia" w:eastAsiaTheme="minorEastAsia" w:hAnsiTheme="minorEastAsia"/>
          <w:sz w:val="24"/>
          <w:szCs w:val="24"/>
        </w:rPr>
        <w:t>カスタマーハラスメントは、その対象となった人の人格や尊厳を侵害する等就業環境を害するものであり、何人も、あらゆる場において、行ってはならないものである。また、その防止に当たっては、互いが対等の立場において、尊重し合うことが重要である。</w:t>
      </w:r>
    </w:p>
    <w:p w:rsidR="000D6DC4" w:rsidRPr="0051116B" w:rsidRDefault="00DC2B7B" w:rsidP="00A05993">
      <w:pPr>
        <w:snapToGrid w:val="0"/>
        <w:spacing w:after="0" w:line="240" w:lineRule="auto"/>
        <w:ind w:left="23" w:firstLine="226"/>
        <w:jc w:val="both"/>
        <w:rPr>
          <w:rFonts w:asciiTheme="minorEastAsia" w:eastAsiaTheme="minorEastAsia" w:hAnsiTheme="minorEastAsia"/>
          <w:sz w:val="24"/>
          <w:szCs w:val="24"/>
        </w:rPr>
      </w:pPr>
      <w:r w:rsidRPr="0051116B">
        <w:rPr>
          <w:rFonts w:asciiTheme="minorEastAsia" w:eastAsiaTheme="minorEastAsia" w:hAnsiTheme="minorEastAsia"/>
          <w:sz w:val="24"/>
          <w:szCs w:val="24"/>
        </w:rPr>
        <w:t>公益財団法人</w:t>
      </w:r>
      <w:r w:rsidR="0051116B">
        <w:rPr>
          <w:rFonts w:asciiTheme="minorEastAsia" w:eastAsiaTheme="minorEastAsia" w:hAnsiTheme="minorEastAsia" w:hint="eastAsia"/>
          <w:sz w:val="24"/>
          <w:szCs w:val="24"/>
        </w:rPr>
        <w:t>ひかり</w:t>
      </w:r>
      <w:r w:rsidRPr="0051116B">
        <w:rPr>
          <w:rFonts w:asciiTheme="minorEastAsia" w:eastAsiaTheme="minorEastAsia" w:hAnsiTheme="minorEastAsia"/>
          <w:sz w:val="24"/>
          <w:szCs w:val="24"/>
        </w:rPr>
        <w:t>協会(以下</w:t>
      </w:r>
      <w:r w:rsidR="003927C6">
        <w:rPr>
          <w:rFonts w:asciiTheme="minorEastAsia" w:eastAsiaTheme="minorEastAsia" w:hAnsiTheme="minorEastAsia" w:hint="eastAsia"/>
          <w:sz w:val="24"/>
          <w:szCs w:val="24"/>
        </w:rPr>
        <w:t>、</w:t>
      </w:r>
      <w:r w:rsidRPr="0051116B">
        <w:rPr>
          <w:rFonts w:asciiTheme="minorEastAsia" w:eastAsiaTheme="minorEastAsia" w:hAnsiTheme="minorEastAsia"/>
          <w:sz w:val="24"/>
          <w:szCs w:val="24"/>
        </w:rPr>
        <w:t>協会という</w:t>
      </w:r>
      <w:r w:rsidR="0051116B">
        <w:rPr>
          <w:rFonts w:asciiTheme="minorEastAsia" w:eastAsiaTheme="minorEastAsia" w:hAnsiTheme="minorEastAsia" w:hint="eastAsia"/>
          <w:sz w:val="24"/>
          <w:szCs w:val="24"/>
        </w:rPr>
        <w:t>)</w:t>
      </w:r>
      <w:r w:rsidRPr="0051116B">
        <w:rPr>
          <w:rFonts w:asciiTheme="minorEastAsia" w:eastAsiaTheme="minorEastAsia" w:hAnsiTheme="minorEastAsia"/>
          <w:sz w:val="24"/>
          <w:szCs w:val="24"/>
        </w:rPr>
        <w:t>が行う</w:t>
      </w:r>
      <w:r w:rsidR="0051116B">
        <w:rPr>
          <w:rFonts w:asciiTheme="minorEastAsia" w:eastAsiaTheme="minorEastAsia" w:hAnsiTheme="minorEastAsia" w:hint="eastAsia"/>
          <w:sz w:val="24"/>
          <w:szCs w:val="24"/>
        </w:rPr>
        <w:t>被害者救済</w:t>
      </w:r>
      <w:r w:rsidRPr="0051116B">
        <w:rPr>
          <w:rFonts w:asciiTheme="minorEastAsia" w:eastAsiaTheme="minorEastAsia" w:hAnsiTheme="minorEastAsia"/>
          <w:sz w:val="24"/>
          <w:szCs w:val="24"/>
        </w:rPr>
        <w:t>事業(以下</w:t>
      </w:r>
      <w:r w:rsidR="003927C6">
        <w:rPr>
          <w:rFonts w:asciiTheme="minorEastAsia" w:eastAsiaTheme="minorEastAsia" w:hAnsiTheme="minorEastAsia" w:hint="eastAsia"/>
          <w:sz w:val="24"/>
          <w:szCs w:val="24"/>
        </w:rPr>
        <w:t>、</w:t>
      </w:r>
      <w:r w:rsidRPr="0051116B">
        <w:rPr>
          <w:rFonts w:asciiTheme="minorEastAsia" w:eastAsiaTheme="minorEastAsia" w:hAnsiTheme="minorEastAsia"/>
          <w:sz w:val="24"/>
          <w:szCs w:val="24"/>
        </w:rPr>
        <w:t>事業という)の</w:t>
      </w:r>
      <w:r w:rsidR="0051116B">
        <w:rPr>
          <w:rFonts w:asciiTheme="minorEastAsia" w:eastAsiaTheme="minorEastAsia" w:hAnsiTheme="minorEastAsia" w:hint="eastAsia"/>
          <w:sz w:val="24"/>
          <w:szCs w:val="24"/>
        </w:rPr>
        <w:t>対象者</w:t>
      </w:r>
      <w:r w:rsidRPr="0051116B">
        <w:rPr>
          <w:rFonts w:asciiTheme="minorEastAsia" w:eastAsiaTheme="minorEastAsia" w:hAnsiTheme="minorEastAsia"/>
          <w:sz w:val="24"/>
          <w:szCs w:val="24"/>
        </w:rPr>
        <w:t>等による意見や要望は、業務改善や事業</w:t>
      </w:r>
      <w:r>
        <w:rPr>
          <w:rFonts w:asciiTheme="minorEastAsia" w:eastAsiaTheme="minorEastAsia" w:hAnsiTheme="minorEastAsia" w:hint="eastAsia"/>
          <w:sz w:val="24"/>
          <w:szCs w:val="24"/>
        </w:rPr>
        <w:t>の</w:t>
      </w:r>
      <w:r w:rsidR="0051116B">
        <w:rPr>
          <w:rFonts w:asciiTheme="minorEastAsia" w:eastAsiaTheme="minorEastAsia" w:hAnsiTheme="minorEastAsia" w:hint="eastAsia"/>
          <w:sz w:val="24"/>
          <w:szCs w:val="24"/>
        </w:rPr>
        <w:t>発展</w:t>
      </w:r>
      <w:r w:rsidRPr="0051116B">
        <w:rPr>
          <w:rFonts w:asciiTheme="minorEastAsia" w:eastAsiaTheme="minorEastAsia" w:hAnsiTheme="minorEastAsia"/>
          <w:sz w:val="24"/>
          <w:szCs w:val="24"/>
        </w:rPr>
        <w:t>につながるものであり、協会はこれに真摯に対応する。一方で、暴言や侮辱的な言動などの職員に対するカスタマーハラスメントは、職員を傷つけるのみならず、業務の遂行を阻害するものであり、ひいては事業の</w:t>
      </w:r>
      <w:r w:rsidR="0051116B">
        <w:rPr>
          <w:rFonts w:asciiTheme="minorEastAsia" w:eastAsiaTheme="minorEastAsia" w:hAnsiTheme="minorEastAsia" w:hint="eastAsia"/>
          <w:sz w:val="24"/>
          <w:szCs w:val="24"/>
        </w:rPr>
        <w:t>遅滞</w:t>
      </w:r>
      <w:r w:rsidRPr="0051116B">
        <w:rPr>
          <w:rFonts w:asciiTheme="minorEastAsia" w:eastAsiaTheme="minorEastAsia" w:hAnsiTheme="minorEastAsia"/>
          <w:sz w:val="24"/>
          <w:szCs w:val="24"/>
        </w:rPr>
        <w:t>につながりかねないものである。</w:t>
      </w:r>
    </w:p>
    <w:p w:rsidR="000D6DC4" w:rsidRDefault="00DC2B7B" w:rsidP="00A05993">
      <w:pPr>
        <w:snapToGrid w:val="0"/>
        <w:spacing w:after="0" w:line="240" w:lineRule="auto"/>
        <w:ind w:left="23" w:firstLine="202"/>
        <w:jc w:val="both"/>
        <w:rPr>
          <w:rFonts w:asciiTheme="minorEastAsia" w:eastAsiaTheme="minorEastAsia" w:hAnsiTheme="minorEastAsia"/>
          <w:sz w:val="24"/>
          <w:szCs w:val="24"/>
        </w:rPr>
      </w:pPr>
      <w:r w:rsidRPr="0051116B">
        <w:rPr>
          <w:rFonts w:asciiTheme="minorEastAsia" w:eastAsiaTheme="minorEastAsia" w:hAnsiTheme="minorEastAsia"/>
          <w:sz w:val="24"/>
          <w:szCs w:val="24"/>
        </w:rPr>
        <w:t>協会は、</w:t>
      </w:r>
      <w:r w:rsidR="001D4B3F" w:rsidRPr="001D4B3F">
        <w:rPr>
          <w:rFonts w:asciiTheme="minorEastAsia" w:eastAsiaTheme="minorEastAsia" w:hAnsiTheme="minorEastAsia" w:hint="eastAsia"/>
          <w:sz w:val="24"/>
          <w:szCs w:val="24"/>
        </w:rPr>
        <w:t>定款に示された「森永ミルク中毒事件に起因する被害者等の福祉の増進を図り、もって公衆衛生及び社会福祉の向上に資する」という設立目的に従い、その重大な責務を</w:t>
      </w:r>
      <w:r w:rsidRPr="0051116B">
        <w:rPr>
          <w:rFonts w:asciiTheme="minorEastAsia" w:eastAsiaTheme="minorEastAsia" w:hAnsiTheme="minorEastAsia"/>
          <w:sz w:val="24"/>
          <w:szCs w:val="24"/>
        </w:rPr>
        <w:t>継続</w:t>
      </w:r>
      <w:r w:rsidR="001D4B3F">
        <w:rPr>
          <w:rFonts w:asciiTheme="minorEastAsia" w:eastAsiaTheme="minorEastAsia" w:hAnsiTheme="minorEastAsia" w:hint="eastAsia"/>
          <w:sz w:val="24"/>
          <w:szCs w:val="24"/>
        </w:rPr>
        <w:t>して実施</w:t>
      </w:r>
      <w:r w:rsidRPr="0051116B">
        <w:rPr>
          <w:rFonts w:asciiTheme="minorEastAsia" w:eastAsiaTheme="minorEastAsia" w:hAnsiTheme="minorEastAsia"/>
          <w:sz w:val="24"/>
          <w:szCs w:val="24"/>
        </w:rPr>
        <w:t>するため、職員に対するカスタマーハラスメントに対し、組織として毅然と対応し、職員を守るとともに、カスタマーハラスメントの防止に主体的か</w:t>
      </w:r>
      <w:r w:rsidR="0051116B">
        <w:rPr>
          <w:rFonts w:asciiTheme="minorEastAsia" w:eastAsiaTheme="minorEastAsia" w:hAnsiTheme="minorEastAsia" w:hint="eastAsia"/>
          <w:sz w:val="24"/>
          <w:szCs w:val="24"/>
        </w:rPr>
        <w:t>つ</w:t>
      </w:r>
      <w:r w:rsidRPr="0051116B">
        <w:rPr>
          <w:rFonts w:asciiTheme="minorEastAsia" w:eastAsiaTheme="minorEastAsia" w:hAnsiTheme="minorEastAsia"/>
          <w:sz w:val="24"/>
          <w:szCs w:val="24"/>
        </w:rPr>
        <w:t>積極的に取り組む。</w:t>
      </w:r>
    </w:p>
    <w:p w:rsidR="00A05993" w:rsidRPr="0051116B" w:rsidRDefault="00A05993" w:rsidP="00A05993">
      <w:pPr>
        <w:snapToGrid w:val="0"/>
        <w:spacing w:after="0" w:line="240" w:lineRule="auto"/>
        <w:ind w:left="23" w:firstLine="202"/>
        <w:jc w:val="both"/>
        <w:rPr>
          <w:rFonts w:asciiTheme="minorEastAsia" w:eastAsiaTheme="minorEastAsia" w:hAnsiTheme="minorEastAsia"/>
          <w:sz w:val="24"/>
          <w:szCs w:val="24"/>
        </w:rPr>
      </w:pPr>
    </w:p>
    <w:p w:rsidR="000D6DC4" w:rsidRPr="0051116B" w:rsidRDefault="0051116B" w:rsidP="00A05993">
      <w:pPr>
        <w:snapToGrid w:val="0"/>
        <w:spacing w:after="0" w:line="240" w:lineRule="auto"/>
        <w:ind w:hanging="10"/>
        <w:rPr>
          <w:rFonts w:asciiTheme="minorEastAsia" w:eastAsiaTheme="minorEastAsia" w:hAnsiTheme="minorEastAsia"/>
          <w:sz w:val="24"/>
          <w:szCs w:val="24"/>
        </w:rPr>
      </w:pPr>
      <w:r>
        <w:rPr>
          <w:rFonts w:asciiTheme="minorEastAsia" w:eastAsiaTheme="minorEastAsia" w:hAnsiTheme="minorEastAsia" w:hint="eastAsia"/>
          <w:sz w:val="24"/>
          <w:szCs w:val="24"/>
        </w:rPr>
        <w:t>（定義</w:t>
      </w:r>
      <w:r>
        <w:rPr>
          <w:rFonts w:asciiTheme="minorEastAsia" w:eastAsiaTheme="minorEastAsia" w:hAnsiTheme="minorEastAsia"/>
          <w:sz w:val="24"/>
          <w:szCs w:val="24"/>
        </w:rPr>
        <w:t>）</w:t>
      </w:r>
    </w:p>
    <w:p w:rsidR="000D6DC4" w:rsidRPr="00A05993" w:rsidRDefault="00DC2B7B" w:rsidP="00A05993">
      <w:pPr>
        <w:pStyle w:val="a3"/>
        <w:numPr>
          <w:ilvl w:val="0"/>
          <w:numId w:val="3"/>
        </w:numPr>
        <w:snapToGrid w:val="0"/>
        <w:spacing w:after="0" w:line="240" w:lineRule="auto"/>
        <w:ind w:leftChars="0" w:hanging="278"/>
        <w:jc w:val="both"/>
        <w:rPr>
          <w:rFonts w:asciiTheme="minorEastAsia" w:eastAsiaTheme="minorEastAsia" w:hAnsiTheme="minorEastAsia"/>
          <w:sz w:val="24"/>
          <w:szCs w:val="24"/>
        </w:rPr>
      </w:pPr>
      <w:r w:rsidRPr="00A05993">
        <w:rPr>
          <w:rFonts w:asciiTheme="minorEastAsia" w:eastAsiaTheme="minorEastAsia" w:hAnsiTheme="minorEastAsia"/>
          <w:sz w:val="24"/>
          <w:szCs w:val="24"/>
        </w:rPr>
        <w:t>職員に対するカスタマーハラスメントとは、事業の</w:t>
      </w:r>
      <w:r w:rsidR="0051116B" w:rsidRPr="00A05993">
        <w:rPr>
          <w:rFonts w:asciiTheme="minorEastAsia" w:eastAsiaTheme="minorEastAsia" w:hAnsiTheme="minorEastAsia" w:hint="eastAsia"/>
          <w:sz w:val="24"/>
          <w:szCs w:val="24"/>
        </w:rPr>
        <w:t>対象者</w:t>
      </w:r>
      <w:r w:rsidRPr="00A05993">
        <w:rPr>
          <w:rFonts w:asciiTheme="minorEastAsia" w:eastAsiaTheme="minorEastAsia" w:hAnsiTheme="minorEastAsia"/>
          <w:sz w:val="24"/>
          <w:szCs w:val="24"/>
        </w:rPr>
        <w:t>等から職員に対し、その業務に関して行われる著しい迷惑行為であって、職員の勤務環境を害するものをいう。</w:t>
      </w:r>
    </w:p>
    <w:p w:rsidR="000D6DC4" w:rsidRPr="00A05993" w:rsidRDefault="0051116B" w:rsidP="00A05993">
      <w:pPr>
        <w:pStyle w:val="a3"/>
        <w:numPr>
          <w:ilvl w:val="0"/>
          <w:numId w:val="3"/>
        </w:numPr>
        <w:snapToGrid w:val="0"/>
        <w:spacing w:after="0" w:line="240" w:lineRule="auto"/>
        <w:ind w:leftChars="0" w:hanging="278"/>
        <w:jc w:val="both"/>
        <w:rPr>
          <w:rFonts w:asciiTheme="minorEastAsia" w:eastAsiaTheme="minorEastAsia" w:hAnsiTheme="minorEastAsia"/>
          <w:sz w:val="24"/>
          <w:szCs w:val="24"/>
        </w:rPr>
      </w:pPr>
      <w:r w:rsidRPr="00A05993">
        <w:rPr>
          <w:rFonts w:asciiTheme="minorEastAsia" w:eastAsiaTheme="minorEastAsia" w:hAnsiTheme="minorEastAsia" w:hint="eastAsia"/>
          <w:sz w:val="24"/>
          <w:szCs w:val="24"/>
        </w:rPr>
        <w:t>１</w:t>
      </w:r>
      <w:r w:rsidR="00DC2B7B" w:rsidRPr="00A05993">
        <w:rPr>
          <w:rFonts w:asciiTheme="minorEastAsia" w:eastAsiaTheme="minorEastAsia" w:hAnsiTheme="minorEastAsia"/>
          <w:sz w:val="24"/>
          <w:szCs w:val="24"/>
        </w:rPr>
        <w:t>の「</w:t>
      </w:r>
      <w:r w:rsidRPr="00A05993">
        <w:rPr>
          <w:rFonts w:asciiTheme="minorEastAsia" w:eastAsiaTheme="minorEastAsia" w:hAnsiTheme="minorEastAsia" w:hint="eastAsia"/>
          <w:sz w:val="24"/>
          <w:szCs w:val="24"/>
        </w:rPr>
        <w:t>対象者</w:t>
      </w:r>
      <w:r w:rsidR="00DC2B7B" w:rsidRPr="00A05993">
        <w:rPr>
          <w:rFonts w:asciiTheme="minorEastAsia" w:eastAsiaTheme="minorEastAsia" w:hAnsiTheme="minorEastAsia"/>
          <w:sz w:val="24"/>
          <w:szCs w:val="24"/>
        </w:rPr>
        <w:t>等」とは、事業に関係する者であって職員が応対する全ての人をいう。</w:t>
      </w:r>
    </w:p>
    <w:p w:rsidR="000D6DC4" w:rsidRPr="00A05993" w:rsidRDefault="0051116B" w:rsidP="00A05993">
      <w:pPr>
        <w:pStyle w:val="a3"/>
        <w:numPr>
          <w:ilvl w:val="0"/>
          <w:numId w:val="3"/>
        </w:numPr>
        <w:snapToGrid w:val="0"/>
        <w:spacing w:after="0" w:line="240" w:lineRule="auto"/>
        <w:ind w:leftChars="0" w:hanging="278"/>
        <w:jc w:val="both"/>
        <w:rPr>
          <w:rFonts w:asciiTheme="minorEastAsia" w:eastAsiaTheme="minorEastAsia" w:hAnsiTheme="minorEastAsia"/>
          <w:sz w:val="24"/>
          <w:szCs w:val="24"/>
        </w:rPr>
      </w:pPr>
      <w:r w:rsidRPr="00A05993">
        <w:rPr>
          <w:rFonts w:asciiTheme="minorEastAsia" w:eastAsiaTheme="minorEastAsia" w:hAnsiTheme="minorEastAsia" w:hint="eastAsia"/>
          <w:sz w:val="24"/>
          <w:szCs w:val="24"/>
        </w:rPr>
        <w:t>１</w:t>
      </w:r>
      <w:r w:rsidR="00DC2B7B" w:rsidRPr="00A05993">
        <w:rPr>
          <w:rFonts w:asciiTheme="minorEastAsia" w:eastAsiaTheme="minorEastAsia" w:hAnsiTheme="minorEastAsia"/>
          <w:sz w:val="24"/>
          <w:szCs w:val="24"/>
        </w:rPr>
        <w:t>の「著しい迷惑行為」とは、暴行、脅迫その他の違法な行為又は正当な理由がない過度な要求、暴言その他の不当な行為をいう。</w:t>
      </w:r>
    </w:p>
    <w:p w:rsidR="00A05993" w:rsidRPr="0051116B" w:rsidRDefault="00A05993" w:rsidP="00A05993">
      <w:pPr>
        <w:snapToGrid w:val="0"/>
        <w:spacing w:after="0" w:line="240" w:lineRule="auto"/>
        <w:jc w:val="both"/>
        <w:rPr>
          <w:rFonts w:asciiTheme="minorEastAsia" w:eastAsiaTheme="minorEastAsia" w:hAnsiTheme="minorEastAsia"/>
          <w:sz w:val="24"/>
          <w:szCs w:val="24"/>
        </w:rPr>
      </w:pPr>
    </w:p>
    <w:p w:rsidR="000D6DC4" w:rsidRPr="0051116B" w:rsidRDefault="0051116B" w:rsidP="00A05993">
      <w:pPr>
        <w:snapToGrid w:val="0"/>
        <w:spacing w:after="0" w:line="240" w:lineRule="auto"/>
        <w:ind w:hanging="10"/>
        <w:jc w:val="both"/>
        <w:rPr>
          <w:rFonts w:asciiTheme="minorEastAsia" w:eastAsiaTheme="minorEastAsia" w:hAnsiTheme="minorEastAsia"/>
          <w:sz w:val="24"/>
          <w:szCs w:val="24"/>
        </w:rPr>
      </w:pPr>
      <w:r>
        <w:rPr>
          <w:rFonts w:asciiTheme="minorEastAsia" w:eastAsiaTheme="minorEastAsia" w:hAnsiTheme="minorEastAsia" w:hint="eastAsia"/>
          <w:sz w:val="24"/>
          <w:szCs w:val="24"/>
        </w:rPr>
        <w:t>(</w:t>
      </w:r>
      <w:r w:rsidR="00DC2B7B" w:rsidRPr="0051116B">
        <w:rPr>
          <w:rFonts w:asciiTheme="minorEastAsia" w:eastAsiaTheme="minorEastAsia" w:hAnsiTheme="minorEastAsia"/>
          <w:sz w:val="24"/>
          <w:szCs w:val="24"/>
        </w:rPr>
        <w:t>協会の責務</w:t>
      </w:r>
      <w:r>
        <w:rPr>
          <w:rFonts w:asciiTheme="minorEastAsia" w:eastAsiaTheme="minorEastAsia" w:hAnsiTheme="minorEastAsia" w:hint="eastAsia"/>
          <w:sz w:val="24"/>
          <w:szCs w:val="24"/>
        </w:rPr>
        <w:t>)</w:t>
      </w:r>
    </w:p>
    <w:p w:rsidR="000D6DC4" w:rsidRPr="0051116B" w:rsidRDefault="00DC2B7B" w:rsidP="00CE2A5B">
      <w:pPr>
        <w:snapToGrid w:val="0"/>
        <w:spacing w:after="0" w:line="240" w:lineRule="auto"/>
        <w:ind w:leftChars="64" w:left="141" w:firstLine="221"/>
        <w:jc w:val="both"/>
        <w:rPr>
          <w:rFonts w:asciiTheme="minorEastAsia" w:eastAsiaTheme="minorEastAsia" w:hAnsiTheme="minorEastAsia"/>
          <w:sz w:val="24"/>
          <w:szCs w:val="24"/>
        </w:rPr>
      </w:pPr>
      <w:r w:rsidRPr="0051116B">
        <w:rPr>
          <w:rFonts w:asciiTheme="minorEastAsia" w:eastAsiaTheme="minorEastAsia" w:hAnsiTheme="minorEastAsia"/>
          <w:sz w:val="24"/>
          <w:szCs w:val="24"/>
        </w:rPr>
        <w:t>協会は、職員に対するカスタマーハラスメントの防止策を講ずるとともに、職員に対するカスタマーハラスメントが行われた場合においては、職員の安全を確保し、行為者に対し、その行為の中止の申入れその他の必要な措置を迅速か</w:t>
      </w:r>
      <w:r w:rsidR="0051116B">
        <w:rPr>
          <w:rFonts w:asciiTheme="minorEastAsia" w:eastAsiaTheme="minorEastAsia" w:hAnsiTheme="minorEastAsia" w:hint="eastAsia"/>
          <w:sz w:val="24"/>
          <w:szCs w:val="24"/>
        </w:rPr>
        <w:t>つ</w:t>
      </w:r>
      <w:r w:rsidRPr="0051116B">
        <w:rPr>
          <w:rFonts w:asciiTheme="minorEastAsia" w:eastAsiaTheme="minorEastAsia" w:hAnsiTheme="minorEastAsia"/>
          <w:sz w:val="24"/>
          <w:szCs w:val="24"/>
        </w:rPr>
        <w:t>適切に講ずるよう努めなければならない。</w:t>
      </w:r>
    </w:p>
    <w:p w:rsidR="000D6DC4" w:rsidRPr="0051116B" w:rsidRDefault="00DC2B7B" w:rsidP="00A05993">
      <w:pPr>
        <w:snapToGrid w:val="0"/>
        <w:spacing w:after="0" w:line="240" w:lineRule="auto"/>
        <w:ind w:leftChars="64" w:left="151" w:hanging="10"/>
        <w:jc w:val="both"/>
        <w:rPr>
          <w:rFonts w:asciiTheme="minorEastAsia" w:eastAsiaTheme="minorEastAsia" w:hAnsiTheme="minorEastAsia"/>
          <w:sz w:val="24"/>
          <w:szCs w:val="24"/>
        </w:rPr>
      </w:pPr>
      <w:r w:rsidRPr="0051116B">
        <w:rPr>
          <w:rFonts w:asciiTheme="minorEastAsia" w:eastAsiaTheme="minorEastAsia" w:hAnsiTheme="minorEastAsia"/>
          <w:sz w:val="24"/>
          <w:szCs w:val="24"/>
        </w:rPr>
        <w:t>協会として、上記の責務を果たすため、次の対策を実施する。</w:t>
      </w:r>
    </w:p>
    <w:p w:rsidR="00CE2A5B" w:rsidRDefault="00CE2A5B" w:rsidP="00A05993">
      <w:pPr>
        <w:pStyle w:val="a3"/>
        <w:numPr>
          <w:ilvl w:val="0"/>
          <w:numId w:val="4"/>
        </w:numPr>
        <w:snapToGrid w:val="0"/>
        <w:spacing w:after="0" w:line="240" w:lineRule="auto"/>
        <w:ind w:leftChars="0" w:left="426" w:hanging="284"/>
        <w:jc w:val="both"/>
        <w:rPr>
          <w:rFonts w:asciiTheme="minorEastAsia" w:eastAsiaTheme="minorEastAsia" w:hAnsiTheme="minorEastAsia"/>
          <w:sz w:val="24"/>
          <w:szCs w:val="24"/>
        </w:rPr>
      </w:pPr>
      <w:r w:rsidRPr="00CE2A5B">
        <w:rPr>
          <w:rFonts w:asciiTheme="minorEastAsia" w:eastAsiaTheme="minorEastAsia" w:hAnsiTheme="minorEastAsia"/>
          <w:sz w:val="24"/>
          <w:szCs w:val="24"/>
        </w:rPr>
        <w:lastRenderedPageBreak/>
        <w:t>管理監督者は、カスタマーハラスメントが行われることのない良好な勤務環境を確保するよう努めなければならない。職員から相談がなされた場合には、迅速か</w:t>
      </w:r>
      <w:r w:rsidRPr="00CE2A5B">
        <w:rPr>
          <w:rFonts w:asciiTheme="minorEastAsia" w:eastAsiaTheme="minorEastAsia" w:hAnsiTheme="minorEastAsia" w:hint="eastAsia"/>
          <w:sz w:val="24"/>
          <w:szCs w:val="24"/>
        </w:rPr>
        <w:t>つ</w:t>
      </w:r>
      <w:r w:rsidRPr="00CE2A5B">
        <w:rPr>
          <w:rFonts w:asciiTheme="minorEastAsia" w:eastAsiaTheme="minorEastAsia" w:hAnsiTheme="minorEastAsia"/>
          <w:sz w:val="24"/>
          <w:szCs w:val="24"/>
        </w:rPr>
        <w:t>適切に対処するよう努めなければならない。</w:t>
      </w:r>
    </w:p>
    <w:p w:rsidR="000D6DC4" w:rsidRPr="00A05993" w:rsidRDefault="00DC2B7B" w:rsidP="003927C6">
      <w:pPr>
        <w:pStyle w:val="a3"/>
        <w:numPr>
          <w:ilvl w:val="0"/>
          <w:numId w:val="4"/>
        </w:numPr>
        <w:snapToGrid w:val="0"/>
        <w:spacing w:after="0" w:line="240" w:lineRule="auto"/>
        <w:ind w:leftChars="0" w:left="426" w:hanging="284"/>
        <w:jc w:val="both"/>
        <w:rPr>
          <w:rFonts w:asciiTheme="minorEastAsia" w:eastAsiaTheme="minorEastAsia" w:hAnsiTheme="minorEastAsia"/>
          <w:sz w:val="24"/>
          <w:szCs w:val="24"/>
        </w:rPr>
      </w:pPr>
      <w:r w:rsidRPr="00A05993">
        <w:rPr>
          <w:rFonts w:asciiTheme="minorEastAsia" w:eastAsiaTheme="minorEastAsia" w:hAnsiTheme="minorEastAsia"/>
          <w:sz w:val="24"/>
          <w:szCs w:val="24"/>
        </w:rPr>
        <w:t>職員に対するカスタマーハラスメントに対応するために、相談や報告等ができる体制を整備する。</w:t>
      </w:r>
    </w:p>
    <w:p w:rsidR="000D6DC4" w:rsidRPr="00A05993" w:rsidRDefault="00DC2B7B" w:rsidP="00A05993">
      <w:pPr>
        <w:pStyle w:val="a3"/>
        <w:numPr>
          <w:ilvl w:val="0"/>
          <w:numId w:val="4"/>
        </w:numPr>
        <w:snapToGrid w:val="0"/>
        <w:spacing w:after="0" w:line="240" w:lineRule="auto"/>
        <w:ind w:leftChars="0" w:left="426" w:hanging="284"/>
        <w:rPr>
          <w:rFonts w:asciiTheme="minorEastAsia" w:eastAsiaTheme="minorEastAsia" w:hAnsiTheme="minorEastAsia"/>
          <w:sz w:val="24"/>
          <w:szCs w:val="24"/>
        </w:rPr>
      </w:pPr>
      <w:r w:rsidRPr="00A05993">
        <w:rPr>
          <w:rFonts w:asciiTheme="minorEastAsia" w:eastAsiaTheme="minorEastAsia" w:hAnsiTheme="minorEastAsia"/>
          <w:sz w:val="24"/>
          <w:szCs w:val="24"/>
        </w:rPr>
        <w:t>意識啓発のための研修等を実施する。</w:t>
      </w:r>
    </w:p>
    <w:p w:rsidR="00A05993" w:rsidRPr="00A05993" w:rsidRDefault="00A05993" w:rsidP="00A05993">
      <w:pPr>
        <w:pStyle w:val="a3"/>
        <w:snapToGrid w:val="0"/>
        <w:spacing w:after="0" w:line="240" w:lineRule="auto"/>
        <w:ind w:leftChars="0" w:left="426"/>
        <w:jc w:val="both"/>
        <w:rPr>
          <w:rFonts w:asciiTheme="minorEastAsia" w:eastAsiaTheme="minorEastAsia" w:hAnsiTheme="minorEastAsia"/>
          <w:sz w:val="24"/>
          <w:szCs w:val="24"/>
        </w:rPr>
      </w:pPr>
    </w:p>
    <w:p w:rsidR="000D6DC4" w:rsidRPr="0051116B" w:rsidRDefault="00A05993" w:rsidP="00A05993">
      <w:pPr>
        <w:snapToGrid w:val="0"/>
        <w:spacing w:after="0" w:line="240" w:lineRule="auto"/>
        <w:ind w:hanging="10"/>
        <w:rPr>
          <w:rFonts w:asciiTheme="minorEastAsia" w:eastAsiaTheme="minorEastAsia" w:hAnsiTheme="minorEastAsia"/>
          <w:sz w:val="24"/>
          <w:szCs w:val="24"/>
        </w:rPr>
      </w:pPr>
      <w:r>
        <w:rPr>
          <w:rFonts w:asciiTheme="minorEastAsia" w:eastAsiaTheme="minorEastAsia" w:hAnsiTheme="minorEastAsia" w:hint="eastAsia"/>
          <w:sz w:val="24"/>
          <w:szCs w:val="24"/>
        </w:rPr>
        <w:t>（</w:t>
      </w:r>
      <w:r w:rsidR="00DC2B7B" w:rsidRPr="0051116B">
        <w:rPr>
          <w:rFonts w:asciiTheme="minorEastAsia" w:eastAsiaTheme="minorEastAsia" w:hAnsiTheme="minorEastAsia"/>
          <w:sz w:val="24"/>
          <w:szCs w:val="24"/>
        </w:rPr>
        <w:t>留意</w:t>
      </w:r>
      <w:r>
        <w:rPr>
          <w:rFonts w:asciiTheme="minorEastAsia" w:eastAsiaTheme="minorEastAsia" w:hAnsiTheme="minorEastAsia" w:hint="eastAsia"/>
          <w:sz w:val="24"/>
          <w:szCs w:val="24"/>
        </w:rPr>
        <w:t>事項</w:t>
      </w:r>
      <w:r>
        <w:rPr>
          <w:rFonts w:asciiTheme="minorEastAsia" w:eastAsiaTheme="minorEastAsia" w:hAnsiTheme="minorEastAsia"/>
          <w:sz w:val="24"/>
          <w:szCs w:val="24"/>
        </w:rPr>
        <w:t>）</w:t>
      </w:r>
    </w:p>
    <w:p w:rsidR="00A05993" w:rsidRPr="00CE2A5B" w:rsidRDefault="00DC2B7B" w:rsidP="00A05993">
      <w:pPr>
        <w:snapToGrid w:val="0"/>
        <w:spacing w:after="0" w:line="240" w:lineRule="auto"/>
        <w:ind w:firstLine="221"/>
        <w:jc w:val="both"/>
        <w:rPr>
          <w:rFonts w:asciiTheme="minorEastAsia" w:eastAsiaTheme="minorEastAsia" w:hAnsiTheme="minorEastAsia"/>
          <w:color w:val="auto"/>
          <w:sz w:val="24"/>
          <w:szCs w:val="24"/>
        </w:rPr>
      </w:pPr>
      <w:r w:rsidRPr="00CE2A5B">
        <w:rPr>
          <w:rFonts w:asciiTheme="minorEastAsia" w:eastAsiaTheme="minorEastAsia" w:hAnsiTheme="minorEastAsia"/>
          <w:color w:val="auto"/>
          <w:sz w:val="24"/>
          <w:szCs w:val="24"/>
        </w:rPr>
        <w:t>この基本方針の実施に当たっては、事業の</w:t>
      </w:r>
      <w:r w:rsidR="00A05993" w:rsidRPr="00CE2A5B">
        <w:rPr>
          <w:rFonts w:asciiTheme="minorEastAsia" w:eastAsiaTheme="minorEastAsia" w:hAnsiTheme="minorEastAsia" w:hint="eastAsia"/>
          <w:color w:val="auto"/>
          <w:sz w:val="24"/>
          <w:szCs w:val="24"/>
        </w:rPr>
        <w:t>対象者</w:t>
      </w:r>
      <w:r w:rsidRPr="00CE2A5B">
        <w:rPr>
          <w:rFonts w:asciiTheme="minorEastAsia" w:eastAsiaTheme="minorEastAsia" w:hAnsiTheme="minorEastAsia"/>
          <w:color w:val="auto"/>
          <w:sz w:val="24"/>
          <w:szCs w:val="24"/>
        </w:rPr>
        <w:t>等の権利を不当に侵害しないように留意しなければならない。</w:t>
      </w:r>
    </w:p>
    <w:p w:rsidR="00A05993" w:rsidRPr="00CE2A5B" w:rsidRDefault="00CE2A5B" w:rsidP="00A05993">
      <w:pPr>
        <w:snapToGrid w:val="0"/>
        <w:spacing w:after="0" w:line="240" w:lineRule="auto"/>
        <w:ind w:firstLine="221"/>
        <w:jc w:val="both"/>
        <w:rPr>
          <w:rFonts w:asciiTheme="minorEastAsia" w:eastAsiaTheme="minorEastAsia" w:hAnsiTheme="minorEastAsia"/>
          <w:color w:val="auto"/>
          <w:sz w:val="24"/>
          <w:szCs w:val="24"/>
        </w:rPr>
      </w:pPr>
      <w:r w:rsidRPr="00CE2A5B">
        <w:rPr>
          <w:rFonts w:asciiTheme="minorEastAsia" w:eastAsiaTheme="minorEastAsia" w:hAnsiTheme="minorEastAsia"/>
          <w:color w:val="auto"/>
          <w:sz w:val="24"/>
          <w:szCs w:val="24"/>
        </w:rPr>
        <w:t>また、職員もその業務に関し、カスタマーハラスメントを行う立場にもなり得ることから、職員がその業務に関して、カスタマーハラスメントを行わないよう、協会として必要な措置を講ずるよう努めなければならない。</w:t>
      </w:r>
    </w:p>
    <w:p w:rsidR="00A05993" w:rsidRDefault="00A05993" w:rsidP="00A05993">
      <w:pPr>
        <w:snapToGrid w:val="0"/>
        <w:spacing w:after="0" w:line="240" w:lineRule="auto"/>
        <w:ind w:firstLine="221"/>
        <w:jc w:val="both"/>
        <w:rPr>
          <w:rFonts w:asciiTheme="minorEastAsia" w:eastAsiaTheme="minorEastAsia" w:hAnsiTheme="minorEastAsia"/>
          <w:sz w:val="24"/>
          <w:szCs w:val="24"/>
        </w:rPr>
      </w:pPr>
      <w:bookmarkStart w:id="0" w:name="_GoBack"/>
      <w:bookmarkEnd w:id="0"/>
    </w:p>
    <w:p w:rsidR="000D6DC4" w:rsidRPr="0051116B" w:rsidRDefault="00DC2B7B" w:rsidP="00A05993">
      <w:pPr>
        <w:snapToGrid w:val="0"/>
        <w:spacing w:after="0" w:line="240" w:lineRule="auto"/>
        <w:jc w:val="both"/>
        <w:rPr>
          <w:rFonts w:asciiTheme="minorEastAsia" w:eastAsiaTheme="minorEastAsia" w:hAnsiTheme="minorEastAsia"/>
          <w:sz w:val="24"/>
          <w:szCs w:val="24"/>
        </w:rPr>
      </w:pPr>
      <w:r w:rsidRPr="0051116B">
        <w:rPr>
          <w:rFonts w:asciiTheme="minorEastAsia" w:eastAsiaTheme="minorEastAsia" w:hAnsiTheme="minorEastAsia"/>
          <w:sz w:val="24"/>
          <w:szCs w:val="24"/>
        </w:rPr>
        <w:t>附則</w:t>
      </w:r>
    </w:p>
    <w:p w:rsidR="000D6DC4" w:rsidRPr="00A05993" w:rsidRDefault="00DC2B7B" w:rsidP="00A05993">
      <w:pPr>
        <w:pStyle w:val="a3"/>
        <w:numPr>
          <w:ilvl w:val="0"/>
          <w:numId w:val="6"/>
        </w:numPr>
        <w:snapToGrid w:val="0"/>
        <w:spacing w:after="0" w:line="240" w:lineRule="auto"/>
        <w:ind w:leftChars="0"/>
        <w:jc w:val="both"/>
        <w:rPr>
          <w:rFonts w:asciiTheme="minorEastAsia" w:eastAsiaTheme="minorEastAsia" w:hAnsiTheme="minorEastAsia"/>
          <w:sz w:val="24"/>
          <w:szCs w:val="24"/>
        </w:rPr>
      </w:pPr>
      <w:r w:rsidRPr="00A05993">
        <w:rPr>
          <w:rFonts w:asciiTheme="minorEastAsia" w:eastAsiaTheme="minorEastAsia" w:hAnsiTheme="minorEastAsia"/>
          <w:sz w:val="24"/>
          <w:szCs w:val="24"/>
        </w:rPr>
        <w:t>この方針は、</w:t>
      </w:r>
      <w:r w:rsidR="00DA3911">
        <w:rPr>
          <w:rFonts w:asciiTheme="minorEastAsia" w:eastAsiaTheme="minorEastAsia" w:hAnsiTheme="minorEastAsia" w:hint="eastAsia"/>
          <w:sz w:val="24"/>
          <w:szCs w:val="24"/>
        </w:rPr>
        <w:t>2026</w:t>
      </w:r>
      <w:r w:rsidRPr="00A05993">
        <w:rPr>
          <w:rFonts w:asciiTheme="minorEastAsia" w:eastAsiaTheme="minorEastAsia" w:hAnsiTheme="minorEastAsia"/>
          <w:sz w:val="24"/>
          <w:szCs w:val="24"/>
        </w:rPr>
        <w:t>年</w:t>
      </w:r>
      <w:r w:rsidR="00DA3911">
        <w:rPr>
          <w:rFonts w:asciiTheme="minorEastAsia" w:eastAsiaTheme="minorEastAsia" w:hAnsiTheme="minorEastAsia" w:hint="eastAsia"/>
          <w:sz w:val="24"/>
          <w:szCs w:val="24"/>
        </w:rPr>
        <w:t>10</w:t>
      </w:r>
      <w:r w:rsidRPr="00A05993">
        <w:rPr>
          <w:rFonts w:asciiTheme="minorEastAsia" w:eastAsiaTheme="minorEastAsia" w:hAnsiTheme="minorEastAsia"/>
          <w:sz w:val="24"/>
          <w:szCs w:val="24"/>
        </w:rPr>
        <w:t>月1日から施行する。</w:t>
      </w:r>
    </w:p>
    <w:sectPr w:rsidR="000D6DC4" w:rsidRPr="00A05993">
      <w:type w:val="continuous"/>
      <w:pgSz w:w="11904" w:h="16834"/>
      <w:pgMar w:top="1700" w:right="1459" w:bottom="1288" w:left="1555"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05993" w:rsidRDefault="00A05993" w:rsidP="00A05993">
      <w:pPr>
        <w:spacing w:after="0" w:line="240" w:lineRule="auto"/>
      </w:pPr>
      <w:r>
        <w:separator/>
      </w:r>
    </w:p>
  </w:endnote>
  <w:endnote w:type="continuationSeparator" w:id="0">
    <w:p w:rsidR="00A05993" w:rsidRDefault="00A05993" w:rsidP="00A059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05993" w:rsidRDefault="00A05993" w:rsidP="00A05993">
      <w:pPr>
        <w:spacing w:after="0" w:line="240" w:lineRule="auto"/>
      </w:pPr>
      <w:r>
        <w:separator/>
      </w:r>
    </w:p>
  </w:footnote>
  <w:footnote w:type="continuationSeparator" w:id="0">
    <w:p w:rsidR="00A05993" w:rsidRDefault="00A05993" w:rsidP="00A0599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442379"/>
    <w:multiLevelType w:val="hybridMultilevel"/>
    <w:tmpl w:val="25AA780A"/>
    <w:lvl w:ilvl="0" w:tplc="F11A3C16">
      <w:start w:val="1"/>
      <w:numFmt w:val="decimalEnclosedCircl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D720EA8"/>
    <w:multiLevelType w:val="hybridMultilevel"/>
    <w:tmpl w:val="DC7071B2"/>
    <w:lvl w:ilvl="0" w:tplc="0409000F">
      <w:start w:val="1"/>
      <w:numFmt w:val="decimal"/>
      <w:lvlText w:val="%1."/>
      <w:lvlJc w:val="left"/>
      <w:pPr>
        <w:ind w:left="846" w:hanging="420"/>
      </w:pPr>
    </w:lvl>
    <w:lvl w:ilvl="1" w:tplc="04090017" w:tentative="1">
      <w:start w:val="1"/>
      <w:numFmt w:val="aiueoFullWidth"/>
      <w:lvlText w:val="(%2)"/>
      <w:lvlJc w:val="left"/>
      <w:pPr>
        <w:ind w:left="1266" w:hanging="420"/>
      </w:pPr>
    </w:lvl>
    <w:lvl w:ilvl="2" w:tplc="04090011" w:tentative="1">
      <w:start w:val="1"/>
      <w:numFmt w:val="decimalEnclosedCircle"/>
      <w:lvlText w:val="%3"/>
      <w:lvlJc w:val="left"/>
      <w:pPr>
        <w:ind w:left="1686" w:hanging="420"/>
      </w:pPr>
    </w:lvl>
    <w:lvl w:ilvl="3" w:tplc="0409000F" w:tentative="1">
      <w:start w:val="1"/>
      <w:numFmt w:val="decimal"/>
      <w:lvlText w:val="%4."/>
      <w:lvlJc w:val="left"/>
      <w:pPr>
        <w:ind w:left="2106" w:hanging="420"/>
      </w:pPr>
    </w:lvl>
    <w:lvl w:ilvl="4" w:tplc="04090017" w:tentative="1">
      <w:start w:val="1"/>
      <w:numFmt w:val="aiueoFullWidth"/>
      <w:lvlText w:val="(%5)"/>
      <w:lvlJc w:val="left"/>
      <w:pPr>
        <w:ind w:left="2526" w:hanging="420"/>
      </w:pPr>
    </w:lvl>
    <w:lvl w:ilvl="5" w:tplc="04090011" w:tentative="1">
      <w:start w:val="1"/>
      <w:numFmt w:val="decimalEnclosedCircle"/>
      <w:lvlText w:val="%6"/>
      <w:lvlJc w:val="left"/>
      <w:pPr>
        <w:ind w:left="2946" w:hanging="420"/>
      </w:pPr>
    </w:lvl>
    <w:lvl w:ilvl="6" w:tplc="0409000F" w:tentative="1">
      <w:start w:val="1"/>
      <w:numFmt w:val="decimal"/>
      <w:lvlText w:val="%7."/>
      <w:lvlJc w:val="left"/>
      <w:pPr>
        <w:ind w:left="3366" w:hanging="420"/>
      </w:pPr>
    </w:lvl>
    <w:lvl w:ilvl="7" w:tplc="04090017" w:tentative="1">
      <w:start w:val="1"/>
      <w:numFmt w:val="aiueoFullWidth"/>
      <w:lvlText w:val="(%8)"/>
      <w:lvlJc w:val="left"/>
      <w:pPr>
        <w:ind w:left="3786" w:hanging="420"/>
      </w:pPr>
    </w:lvl>
    <w:lvl w:ilvl="8" w:tplc="04090011" w:tentative="1">
      <w:start w:val="1"/>
      <w:numFmt w:val="decimalEnclosedCircle"/>
      <w:lvlText w:val="%9"/>
      <w:lvlJc w:val="left"/>
      <w:pPr>
        <w:ind w:left="4206" w:hanging="420"/>
      </w:pPr>
    </w:lvl>
  </w:abstractNum>
  <w:abstractNum w:abstractNumId="2" w15:restartNumberingAfterBreak="0">
    <w:nsid w:val="3E063C35"/>
    <w:multiLevelType w:val="hybridMultilevel"/>
    <w:tmpl w:val="1518A1FA"/>
    <w:lvl w:ilvl="0" w:tplc="0409000F">
      <w:start w:val="1"/>
      <w:numFmt w:val="decimal"/>
      <w:lvlText w:val="%1."/>
      <w:lvlJc w:val="left"/>
      <w:pPr>
        <w:ind w:left="410" w:hanging="420"/>
      </w:pPr>
    </w:lvl>
    <w:lvl w:ilvl="1" w:tplc="04090017" w:tentative="1">
      <w:start w:val="1"/>
      <w:numFmt w:val="aiueoFullWidth"/>
      <w:lvlText w:val="(%2)"/>
      <w:lvlJc w:val="left"/>
      <w:pPr>
        <w:ind w:left="830" w:hanging="420"/>
      </w:pPr>
    </w:lvl>
    <w:lvl w:ilvl="2" w:tplc="04090011" w:tentative="1">
      <w:start w:val="1"/>
      <w:numFmt w:val="decimalEnclosedCircle"/>
      <w:lvlText w:val="%3"/>
      <w:lvlJc w:val="left"/>
      <w:pPr>
        <w:ind w:left="1250" w:hanging="420"/>
      </w:pPr>
    </w:lvl>
    <w:lvl w:ilvl="3" w:tplc="0409000F" w:tentative="1">
      <w:start w:val="1"/>
      <w:numFmt w:val="decimal"/>
      <w:lvlText w:val="%4."/>
      <w:lvlJc w:val="left"/>
      <w:pPr>
        <w:ind w:left="1670" w:hanging="420"/>
      </w:pPr>
    </w:lvl>
    <w:lvl w:ilvl="4" w:tplc="04090017" w:tentative="1">
      <w:start w:val="1"/>
      <w:numFmt w:val="aiueoFullWidth"/>
      <w:lvlText w:val="(%5)"/>
      <w:lvlJc w:val="left"/>
      <w:pPr>
        <w:ind w:left="2090" w:hanging="420"/>
      </w:pPr>
    </w:lvl>
    <w:lvl w:ilvl="5" w:tplc="04090011" w:tentative="1">
      <w:start w:val="1"/>
      <w:numFmt w:val="decimalEnclosedCircle"/>
      <w:lvlText w:val="%6"/>
      <w:lvlJc w:val="left"/>
      <w:pPr>
        <w:ind w:left="2510" w:hanging="420"/>
      </w:pPr>
    </w:lvl>
    <w:lvl w:ilvl="6" w:tplc="0409000F" w:tentative="1">
      <w:start w:val="1"/>
      <w:numFmt w:val="decimal"/>
      <w:lvlText w:val="%7."/>
      <w:lvlJc w:val="left"/>
      <w:pPr>
        <w:ind w:left="2930" w:hanging="420"/>
      </w:pPr>
    </w:lvl>
    <w:lvl w:ilvl="7" w:tplc="04090017" w:tentative="1">
      <w:start w:val="1"/>
      <w:numFmt w:val="aiueoFullWidth"/>
      <w:lvlText w:val="(%8)"/>
      <w:lvlJc w:val="left"/>
      <w:pPr>
        <w:ind w:left="3350" w:hanging="420"/>
      </w:pPr>
    </w:lvl>
    <w:lvl w:ilvl="8" w:tplc="04090011" w:tentative="1">
      <w:start w:val="1"/>
      <w:numFmt w:val="decimalEnclosedCircle"/>
      <w:lvlText w:val="%9"/>
      <w:lvlJc w:val="left"/>
      <w:pPr>
        <w:ind w:left="3770" w:hanging="420"/>
      </w:pPr>
    </w:lvl>
  </w:abstractNum>
  <w:abstractNum w:abstractNumId="3" w15:restartNumberingAfterBreak="0">
    <w:nsid w:val="4D406662"/>
    <w:multiLevelType w:val="hybridMultilevel"/>
    <w:tmpl w:val="0F9C1824"/>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67877892"/>
    <w:multiLevelType w:val="hybridMultilevel"/>
    <w:tmpl w:val="8B78E3FE"/>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7BD31B3F"/>
    <w:multiLevelType w:val="hybridMultilevel"/>
    <w:tmpl w:val="DB1E9A10"/>
    <w:lvl w:ilvl="0" w:tplc="F604BA1A">
      <w:start w:val="2"/>
      <w:numFmt w:val="decimal"/>
      <w:lvlText w:val="%1"/>
      <w:lvlJc w:val="left"/>
      <w:pPr>
        <w:ind w:left="437"/>
      </w:pPr>
      <w:rPr>
        <w:rFonts w:ascii="ＭＳ 明朝" w:eastAsia="ＭＳ 明朝" w:hAnsi="ＭＳ 明朝" w:cs="ＭＳ 明朝"/>
        <w:b w:val="0"/>
        <w:i w:val="0"/>
        <w:strike w:val="0"/>
        <w:dstrike w:val="0"/>
        <w:color w:val="000000"/>
        <w:sz w:val="30"/>
        <w:szCs w:val="30"/>
        <w:u w:val="none" w:color="000000"/>
        <w:bdr w:val="none" w:sz="0" w:space="0" w:color="auto"/>
        <w:shd w:val="clear" w:color="auto" w:fill="auto"/>
        <w:vertAlign w:val="baseline"/>
      </w:rPr>
    </w:lvl>
    <w:lvl w:ilvl="1" w:tplc="257ECCB8">
      <w:start w:val="1"/>
      <w:numFmt w:val="lowerLetter"/>
      <w:lvlText w:val="%2"/>
      <w:lvlJc w:val="left"/>
      <w:pPr>
        <w:ind w:left="1373"/>
      </w:pPr>
      <w:rPr>
        <w:rFonts w:ascii="ＭＳ 明朝" w:eastAsia="ＭＳ 明朝" w:hAnsi="ＭＳ 明朝" w:cs="ＭＳ 明朝"/>
        <w:b w:val="0"/>
        <w:i w:val="0"/>
        <w:strike w:val="0"/>
        <w:dstrike w:val="0"/>
        <w:color w:val="000000"/>
        <w:sz w:val="30"/>
        <w:szCs w:val="30"/>
        <w:u w:val="none" w:color="000000"/>
        <w:bdr w:val="none" w:sz="0" w:space="0" w:color="auto"/>
        <w:shd w:val="clear" w:color="auto" w:fill="auto"/>
        <w:vertAlign w:val="baseline"/>
      </w:rPr>
    </w:lvl>
    <w:lvl w:ilvl="2" w:tplc="4EDA7598">
      <w:start w:val="1"/>
      <w:numFmt w:val="lowerRoman"/>
      <w:lvlText w:val="%3"/>
      <w:lvlJc w:val="left"/>
      <w:pPr>
        <w:ind w:left="2093"/>
      </w:pPr>
      <w:rPr>
        <w:rFonts w:ascii="ＭＳ 明朝" w:eastAsia="ＭＳ 明朝" w:hAnsi="ＭＳ 明朝" w:cs="ＭＳ 明朝"/>
        <w:b w:val="0"/>
        <w:i w:val="0"/>
        <w:strike w:val="0"/>
        <w:dstrike w:val="0"/>
        <w:color w:val="000000"/>
        <w:sz w:val="30"/>
        <w:szCs w:val="30"/>
        <w:u w:val="none" w:color="000000"/>
        <w:bdr w:val="none" w:sz="0" w:space="0" w:color="auto"/>
        <w:shd w:val="clear" w:color="auto" w:fill="auto"/>
        <w:vertAlign w:val="baseline"/>
      </w:rPr>
    </w:lvl>
    <w:lvl w:ilvl="3" w:tplc="C0FAB218">
      <w:start w:val="1"/>
      <w:numFmt w:val="decimal"/>
      <w:lvlText w:val="%4"/>
      <w:lvlJc w:val="left"/>
      <w:pPr>
        <w:ind w:left="2813"/>
      </w:pPr>
      <w:rPr>
        <w:rFonts w:ascii="ＭＳ 明朝" w:eastAsia="ＭＳ 明朝" w:hAnsi="ＭＳ 明朝" w:cs="ＭＳ 明朝"/>
        <w:b w:val="0"/>
        <w:i w:val="0"/>
        <w:strike w:val="0"/>
        <w:dstrike w:val="0"/>
        <w:color w:val="000000"/>
        <w:sz w:val="30"/>
        <w:szCs w:val="30"/>
        <w:u w:val="none" w:color="000000"/>
        <w:bdr w:val="none" w:sz="0" w:space="0" w:color="auto"/>
        <w:shd w:val="clear" w:color="auto" w:fill="auto"/>
        <w:vertAlign w:val="baseline"/>
      </w:rPr>
    </w:lvl>
    <w:lvl w:ilvl="4" w:tplc="BB285FB4">
      <w:start w:val="1"/>
      <w:numFmt w:val="lowerLetter"/>
      <w:lvlText w:val="%5"/>
      <w:lvlJc w:val="left"/>
      <w:pPr>
        <w:ind w:left="3533"/>
      </w:pPr>
      <w:rPr>
        <w:rFonts w:ascii="ＭＳ 明朝" w:eastAsia="ＭＳ 明朝" w:hAnsi="ＭＳ 明朝" w:cs="ＭＳ 明朝"/>
        <w:b w:val="0"/>
        <w:i w:val="0"/>
        <w:strike w:val="0"/>
        <w:dstrike w:val="0"/>
        <w:color w:val="000000"/>
        <w:sz w:val="30"/>
        <w:szCs w:val="30"/>
        <w:u w:val="none" w:color="000000"/>
        <w:bdr w:val="none" w:sz="0" w:space="0" w:color="auto"/>
        <w:shd w:val="clear" w:color="auto" w:fill="auto"/>
        <w:vertAlign w:val="baseline"/>
      </w:rPr>
    </w:lvl>
    <w:lvl w:ilvl="5" w:tplc="DF6272C8">
      <w:start w:val="1"/>
      <w:numFmt w:val="lowerRoman"/>
      <w:lvlText w:val="%6"/>
      <w:lvlJc w:val="left"/>
      <w:pPr>
        <w:ind w:left="4253"/>
      </w:pPr>
      <w:rPr>
        <w:rFonts w:ascii="ＭＳ 明朝" w:eastAsia="ＭＳ 明朝" w:hAnsi="ＭＳ 明朝" w:cs="ＭＳ 明朝"/>
        <w:b w:val="0"/>
        <w:i w:val="0"/>
        <w:strike w:val="0"/>
        <w:dstrike w:val="0"/>
        <w:color w:val="000000"/>
        <w:sz w:val="30"/>
        <w:szCs w:val="30"/>
        <w:u w:val="none" w:color="000000"/>
        <w:bdr w:val="none" w:sz="0" w:space="0" w:color="auto"/>
        <w:shd w:val="clear" w:color="auto" w:fill="auto"/>
        <w:vertAlign w:val="baseline"/>
      </w:rPr>
    </w:lvl>
    <w:lvl w:ilvl="6" w:tplc="070A8EB4">
      <w:start w:val="1"/>
      <w:numFmt w:val="decimal"/>
      <w:lvlText w:val="%7"/>
      <w:lvlJc w:val="left"/>
      <w:pPr>
        <w:ind w:left="4973"/>
      </w:pPr>
      <w:rPr>
        <w:rFonts w:ascii="ＭＳ 明朝" w:eastAsia="ＭＳ 明朝" w:hAnsi="ＭＳ 明朝" w:cs="ＭＳ 明朝"/>
        <w:b w:val="0"/>
        <w:i w:val="0"/>
        <w:strike w:val="0"/>
        <w:dstrike w:val="0"/>
        <w:color w:val="000000"/>
        <w:sz w:val="30"/>
        <w:szCs w:val="30"/>
        <w:u w:val="none" w:color="000000"/>
        <w:bdr w:val="none" w:sz="0" w:space="0" w:color="auto"/>
        <w:shd w:val="clear" w:color="auto" w:fill="auto"/>
        <w:vertAlign w:val="baseline"/>
      </w:rPr>
    </w:lvl>
    <w:lvl w:ilvl="7" w:tplc="FBE06FC6">
      <w:start w:val="1"/>
      <w:numFmt w:val="lowerLetter"/>
      <w:lvlText w:val="%8"/>
      <w:lvlJc w:val="left"/>
      <w:pPr>
        <w:ind w:left="5693"/>
      </w:pPr>
      <w:rPr>
        <w:rFonts w:ascii="ＭＳ 明朝" w:eastAsia="ＭＳ 明朝" w:hAnsi="ＭＳ 明朝" w:cs="ＭＳ 明朝"/>
        <w:b w:val="0"/>
        <w:i w:val="0"/>
        <w:strike w:val="0"/>
        <w:dstrike w:val="0"/>
        <w:color w:val="000000"/>
        <w:sz w:val="30"/>
        <w:szCs w:val="30"/>
        <w:u w:val="none" w:color="000000"/>
        <w:bdr w:val="none" w:sz="0" w:space="0" w:color="auto"/>
        <w:shd w:val="clear" w:color="auto" w:fill="auto"/>
        <w:vertAlign w:val="baseline"/>
      </w:rPr>
    </w:lvl>
    <w:lvl w:ilvl="8" w:tplc="80445944">
      <w:start w:val="1"/>
      <w:numFmt w:val="lowerRoman"/>
      <w:lvlText w:val="%9"/>
      <w:lvlJc w:val="left"/>
      <w:pPr>
        <w:ind w:left="6413"/>
      </w:pPr>
      <w:rPr>
        <w:rFonts w:ascii="ＭＳ 明朝" w:eastAsia="ＭＳ 明朝" w:hAnsi="ＭＳ 明朝" w:cs="ＭＳ 明朝"/>
        <w:b w:val="0"/>
        <w:i w:val="0"/>
        <w:strike w:val="0"/>
        <w:dstrike w:val="0"/>
        <w:color w:val="000000"/>
        <w:sz w:val="30"/>
        <w:szCs w:val="30"/>
        <w:u w:val="none" w:color="000000"/>
        <w:bdr w:val="none" w:sz="0" w:space="0" w:color="auto"/>
        <w:shd w:val="clear" w:color="auto" w:fill="auto"/>
        <w:vertAlign w:val="baseline"/>
      </w:rPr>
    </w:lvl>
  </w:abstractNum>
  <w:num w:numId="1">
    <w:abstractNumId w:val="5"/>
  </w:num>
  <w:num w:numId="2">
    <w:abstractNumId w:val="0"/>
  </w:num>
  <w:num w:numId="3">
    <w:abstractNumId w:val="4"/>
  </w:num>
  <w:num w:numId="4">
    <w:abstractNumId w:val="1"/>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bordersDoNotSurroundHeader/>
  <w:bordersDoNotSurroundFooter/>
  <w:defaultTabStop w:val="84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6DC4"/>
    <w:rsid w:val="000D6DC4"/>
    <w:rsid w:val="001D4B3F"/>
    <w:rsid w:val="003927C6"/>
    <w:rsid w:val="003C4CCE"/>
    <w:rsid w:val="004F107F"/>
    <w:rsid w:val="0051116B"/>
    <w:rsid w:val="00666CBE"/>
    <w:rsid w:val="00A05993"/>
    <w:rsid w:val="00C239DC"/>
    <w:rsid w:val="00CE2A5B"/>
    <w:rsid w:val="00DA3911"/>
    <w:rsid w:val="00DC2B7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7E2BF967"/>
  <w15:docId w15:val="{B73B681F-EE44-45A1-B3BF-2F29A02D38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rFonts w:ascii="ＭＳ 明朝" w:eastAsia="ＭＳ 明朝" w:hAnsi="ＭＳ 明朝" w:cs="ＭＳ 明朝"/>
      <w:color w:val="000000"/>
      <w:sz w:val="22"/>
    </w:rPr>
  </w:style>
  <w:style w:type="paragraph" w:styleId="1">
    <w:name w:val="heading 1"/>
    <w:next w:val="a"/>
    <w:link w:val="10"/>
    <w:uiPriority w:val="9"/>
    <w:unhideWhenUsed/>
    <w:qFormat/>
    <w:pPr>
      <w:keepNext/>
      <w:keepLines/>
      <w:spacing w:line="259" w:lineRule="auto"/>
      <w:ind w:left="116" w:hanging="10"/>
      <w:jc w:val="both"/>
      <w:outlineLvl w:val="0"/>
    </w:pPr>
    <w:rPr>
      <w:rFonts w:ascii="ＭＳ 明朝" w:eastAsia="ＭＳ 明朝" w:hAnsi="ＭＳ 明朝" w:cs="ＭＳ 明朝"/>
      <w:color w:val="000000"/>
      <w:sz w:val="28"/>
    </w:rPr>
  </w:style>
  <w:style w:type="paragraph" w:styleId="2">
    <w:name w:val="heading 2"/>
    <w:next w:val="a"/>
    <w:link w:val="20"/>
    <w:uiPriority w:val="9"/>
    <w:unhideWhenUsed/>
    <w:qFormat/>
    <w:pPr>
      <w:keepNext/>
      <w:keepLines/>
      <w:spacing w:line="259" w:lineRule="auto"/>
      <w:ind w:left="116" w:hanging="10"/>
      <w:jc w:val="both"/>
      <w:outlineLvl w:val="1"/>
    </w:pPr>
    <w:rPr>
      <w:rFonts w:ascii="ＭＳ 明朝" w:eastAsia="ＭＳ 明朝" w:hAnsi="ＭＳ 明朝" w:cs="ＭＳ 明朝"/>
      <w:color w:val="000000"/>
      <w:sz w:val="28"/>
    </w:rPr>
  </w:style>
  <w:style w:type="paragraph" w:styleId="3">
    <w:name w:val="heading 3"/>
    <w:next w:val="a"/>
    <w:link w:val="30"/>
    <w:uiPriority w:val="9"/>
    <w:unhideWhenUsed/>
    <w:qFormat/>
    <w:pPr>
      <w:keepNext/>
      <w:keepLines/>
      <w:spacing w:line="259" w:lineRule="auto"/>
      <w:ind w:left="259"/>
      <w:jc w:val="center"/>
      <w:outlineLvl w:val="2"/>
    </w:pPr>
    <w:rPr>
      <w:rFonts w:ascii="ＭＳ 明朝" w:eastAsia="ＭＳ 明朝" w:hAnsi="ＭＳ 明朝" w:cs="ＭＳ 明朝"/>
      <w:color w:val="00000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見出し 3 (文字)"/>
    <w:link w:val="3"/>
    <w:rPr>
      <w:rFonts w:ascii="ＭＳ 明朝" w:eastAsia="ＭＳ 明朝" w:hAnsi="ＭＳ 明朝" w:cs="ＭＳ 明朝"/>
      <w:color w:val="000000"/>
      <w:sz w:val="24"/>
    </w:rPr>
  </w:style>
  <w:style w:type="character" w:customStyle="1" w:styleId="10">
    <w:name w:val="見出し 1 (文字)"/>
    <w:link w:val="1"/>
    <w:rPr>
      <w:rFonts w:ascii="ＭＳ 明朝" w:eastAsia="ＭＳ 明朝" w:hAnsi="ＭＳ 明朝" w:cs="ＭＳ 明朝"/>
      <w:color w:val="000000"/>
      <w:sz w:val="28"/>
    </w:rPr>
  </w:style>
  <w:style w:type="character" w:customStyle="1" w:styleId="20">
    <w:name w:val="見出し 2 (文字)"/>
    <w:link w:val="2"/>
    <w:rPr>
      <w:rFonts w:ascii="ＭＳ 明朝" w:eastAsia="ＭＳ 明朝" w:hAnsi="ＭＳ 明朝" w:cs="ＭＳ 明朝"/>
      <w:color w:val="000000"/>
      <w:sz w:val="28"/>
    </w:rPr>
  </w:style>
  <w:style w:type="table" w:customStyle="1" w:styleId="TableGrid">
    <w:name w:val="TableGrid"/>
    <w:tblPr>
      <w:tblCellMar>
        <w:top w:w="0" w:type="dxa"/>
        <w:left w:w="0" w:type="dxa"/>
        <w:bottom w:w="0" w:type="dxa"/>
        <w:right w:w="0" w:type="dxa"/>
      </w:tblCellMar>
    </w:tblPr>
  </w:style>
  <w:style w:type="paragraph" w:styleId="a3">
    <w:name w:val="List Paragraph"/>
    <w:basedOn w:val="a"/>
    <w:uiPriority w:val="34"/>
    <w:qFormat/>
    <w:rsid w:val="00A05993"/>
    <w:pPr>
      <w:ind w:leftChars="400" w:left="840"/>
    </w:pPr>
  </w:style>
  <w:style w:type="paragraph" w:styleId="a4">
    <w:name w:val="header"/>
    <w:basedOn w:val="a"/>
    <w:link w:val="a5"/>
    <w:uiPriority w:val="99"/>
    <w:unhideWhenUsed/>
    <w:rsid w:val="00A05993"/>
    <w:pPr>
      <w:tabs>
        <w:tab w:val="center" w:pos="4252"/>
        <w:tab w:val="right" w:pos="8504"/>
      </w:tabs>
      <w:snapToGrid w:val="0"/>
    </w:pPr>
  </w:style>
  <w:style w:type="character" w:customStyle="1" w:styleId="a5">
    <w:name w:val="ヘッダー (文字)"/>
    <w:basedOn w:val="a0"/>
    <w:link w:val="a4"/>
    <w:uiPriority w:val="99"/>
    <w:rsid w:val="00A05993"/>
    <w:rPr>
      <w:rFonts w:ascii="ＭＳ 明朝" w:eastAsia="ＭＳ 明朝" w:hAnsi="ＭＳ 明朝" w:cs="ＭＳ 明朝"/>
      <w:color w:val="000000"/>
      <w:sz w:val="22"/>
    </w:rPr>
  </w:style>
  <w:style w:type="paragraph" w:styleId="a6">
    <w:name w:val="footer"/>
    <w:basedOn w:val="a"/>
    <w:link w:val="a7"/>
    <w:uiPriority w:val="99"/>
    <w:unhideWhenUsed/>
    <w:rsid w:val="00A05993"/>
    <w:pPr>
      <w:tabs>
        <w:tab w:val="center" w:pos="4252"/>
        <w:tab w:val="right" w:pos="8504"/>
      </w:tabs>
      <w:snapToGrid w:val="0"/>
    </w:pPr>
  </w:style>
  <w:style w:type="character" w:customStyle="1" w:styleId="a7">
    <w:name w:val="フッター (文字)"/>
    <w:basedOn w:val="a0"/>
    <w:link w:val="a6"/>
    <w:uiPriority w:val="99"/>
    <w:rsid w:val="00A05993"/>
    <w:rPr>
      <w:rFonts w:ascii="ＭＳ 明朝" w:eastAsia="ＭＳ 明朝" w:hAnsi="ＭＳ 明朝" w:cs="ＭＳ 明朝"/>
      <w:color w:val="000000"/>
      <w:sz w:val="22"/>
    </w:rPr>
  </w:style>
  <w:style w:type="paragraph" w:styleId="a8">
    <w:name w:val="Balloon Text"/>
    <w:basedOn w:val="a"/>
    <w:link w:val="a9"/>
    <w:uiPriority w:val="99"/>
    <w:semiHidden/>
    <w:unhideWhenUsed/>
    <w:rsid w:val="003927C6"/>
    <w:pPr>
      <w:spacing w:after="0" w:line="240" w:lineRule="auto"/>
    </w:pPr>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3927C6"/>
    <w:rPr>
      <w:rFonts w:asciiTheme="majorHAnsi" w:eastAsiaTheme="majorEastAsia" w:hAnsiTheme="majorHAnsi" w:cstheme="majorBid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TotalTime>
  <Pages>2</Pages>
  <Words>178</Words>
  <Characters>1016</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田川　裕子</dc:creator>
  <cp:keywords/>
  <cp:lastModifiedBy>田川　裕子</cp:lastModifiedBy>
  <cp:revision>8</cp:revision>
  <cp:lastPrinted>2026-06-30T01:56:00Z</cp:lastPrinted>
  <dcterms:created xsi:type="dcterms:W3CDTF">2026-06-17T03:04:00Z</dcterms:created>
  <dcterms:modified xsi:type="dcterms:W3CDTF">2026-07-07T07:26:00Z</dcterms:modified>
</cp:coreProperties>
</file>